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b w:val="false"/>
          <w:bCs w:val="false"/>
        </w:rPr>
        <w:t>Ministério da Educação</w:t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b w:val="false"/>
          <w:bCs w:val="false"/>
        </w:rPr>
        <w:t xml:space="preserve">Secretaria da Educação Profissional e Tecnológica </w:t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b w:val="false"/>
          <w:bCs w:val="false"/>
        </w:rPr>
        <w:t>Instituto Federal de Educação, Ciência e Tecnologia Baiano</w:t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b w:val="false"/>
          <w:bCs w:val="false"/>
        </w:rPr>
        <w:t>Pró-Reitoria de Pesquisa e Inovação</w:t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8" w:right="0"/>
        <w:jc w:val="center"/>
        <w:rPr>
          <w:rFonts w:ascii="Calibri" w:hAnsi="Calibri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3418840</wp:posOffset>
            </wp:positionH>
            <wp:positionV relativeFrom="page">
              <wp:posOffset>409575</wp:posOffset>
            </wp:positionV>
            <wp:extent cx="735965" cy="635635"/>
            <wp:effectExtent l="0" t="0" r="0" b="0"/>
            <wp:wrapNone/>
            <wp:docPr id="1" name="Image 1 Copia 1 Copia 1 Copia 1 Copia 1 Copia 1 Copia 1 Copia 1 Copia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 Copia 1 Copia 1 Copia 1 Copia 1 Copia 1 Copia 1 Copia 1 Copia 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ANEXO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DECLARAÇÃO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PESSOA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COM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DEFICIÊNCIA</w:t>
      </w:r>
    </w:p>
    <w:p>
      <w:pPr>
        <w:pStyle w:val="BodyText"/>
        <w:bidi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BodyText"/>
        <w:tabs>
          <w:tab w:val="clear" w:pos="709"/>
          <w:tab w:val="left" w:pos="4791" w:leader="none"/>
          <w:tab w:val="left" w:pos="5481" w:leader="none"/>
          <w:tab w:val="left" w:pos="8774" w:leader="none"/>
        </w:tabs>
        <w:bidi w:val="0"/>
        <w:spacing w:before="1" w:after="0"/>
        <w:ind w:left="95" w:right="81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 xml:space="preserve">Eu,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,portador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RG nº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3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inscrito(a)</w:t>
      </w:r>
      <w:r>
        <w:rPr>
          <w:rFonts w:ascii="Arial" w:hAnsi="Arial"/>
          <w:spacing w:val="3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 CPF sob o nº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, declaro ao IF Baiano que, conforme CID-10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sob </w:t>
      </w:r>
      <w:r>
        <w:rPr>
          <w:rFonts w:ascii="Arial" w:hAnsi="Arial"/>
          <w:spacing w:val="-6"/>
          <w:sz w:val="20"/>
          <w:szCs w:val="20"/>
        </w:rPr>
        <w:t>n°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constante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Laudo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Médico </w:t>
      </w:r>
      <w:r>
        <w:rPr>
          <w:rFonts w:ascii="Arial" w:hAnsi="Arial"/>
          <w:b/>
          <w:sz w:val="20"/>
          <w:szCs w:val="20"/>
        </w:rPr>
        <w:t>em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anexo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expedido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conforme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especificações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Edital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possuo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a(s) seguinte(s) deficiência(s):</w:t>
      </w:r>
    </w:p>
    <w:p>
      <w:pPr>
        <w:pStyle w:val="BodyText"/>
        <w:bidi w:val="0"/>
        <w:spacing w:before="1" w:after="0"/>
        <w:ind w:left="69" w:right="0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 Deficiência física (Alteração completa ou parcial de um ou mais segmentos do corpo humano, acarretando o comprometimento da função física, apresentando-se sob a forma de paraplegia, paraparesia, monoplegia, monoparesia, tetraplegia, tetraparesia, triplegia, triparesia, hemiplegia, hemiparesia, ostomia, amputação ou ausência de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membro, paralisia cerebral, nanismo,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membros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deformidade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congênita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 adquirida, exceto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as deformidades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estéticas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não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produzam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dificuldades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para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desempenho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funções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Redação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dada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pelo Decreto nº 5.296, de 2004);</w:t>
      </w:r>
    </w:p>
    <w:p>
      <w:pPr>
        <w:pStyle w:val="BodyText"/>
        <w:bidi w:val="0"/>
        <w:ind w:left="69" w:right="0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 Deficiência auditiva (Perda bilateral, parcial ou total, de quarenta e um decibéis (dB) ou mais, aferida por audiograma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frequências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500HZ,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1.000HZ,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2.000Hz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3.000Hz. -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Redação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dada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pelo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Decreto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nº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5.296,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pacing w:val="-2"/>
          <w:sz w:val="20"/>
          <w:szCs w:val="20"/>
        </w:rPr>
        <w:t>2004);</w:t>
      </w:r>
    </w:p>
    <w:p>
      <w:pPr>
        <w:pStyle w:val="BodyText"/>
        <w:bidi w:val="0"/>
        <w:ind w:left="69" w:right="31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 Deficiência visual (Cegueira, na qual a acuidade visual é igual ou menor que 0,05 no melhor olho, com a melhor correção óptica; a baixa visão, que significa acuidade visual entre 0,3 e 0,05 no melhor olho, com a melhor correção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óptica;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casos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nos quais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 somatória da medida do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campo visual em ambos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olhos for igual ou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menor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60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graus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;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ocorrência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simultânea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quaisquer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condições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anteriores -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Redação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dada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pelo Decreto nº 5.296, de 2004);</w:t>
      </w:r>
    </w:p>
    <w:p>
      <w:pPr>
        <w:pStyle w:val="BodyText"/>
        <w:bidi w:val="0"/>
        <w:ind w:left="69" w:right="31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Deficiência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mental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(Funcionamento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intelectual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significativamente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inferior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média,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manifestação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- Redação dada pelo Decreto nº 5.296, de 2004);</w:t>
      </w:r>
    </w:p>
    <w:p>
      <w:pPr>
        <w:pStyle w:val="BodyText"/>
        <w:tabs>
          <w:tab w:val="clear" w:pos="709"/>
          <w:tab w:val="left" w:pos="9004" w:leader="none"/>
        </w:tabs>
        <w:bidi w:val="0"/>
        <w:ind w:left="69" w:right="0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Outras</w:t>
      </w:r>
      <w:r>
        <w:rPr>
          <w:rFonts w:ascii="Arial" w:hAnsi="Arial"/>
          <w:spacing w:val="-2"/>
          <w:sz w:val="20"/>
          <w:szCs w:val="20"/>
        </w:rPr>
        <w:t xml:space="preserve"> (descreva):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BodyText"/>
        <w:tabs>
          <w:tab w:val="clear" w:pos="709"/>
          <w:tab w:val="left" w:pos="9004" w:leader="none"/>
        </w:tabs>
        <w:bidi w:val="0"/>
        <w:ind w:left="69" w:right="0"/>
        <w:jc w:val="both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O laudo médico com expressa referência ao código correspondente da Classificação Internacional de Doença – CID, atesta a espécie e grau da deficiência. São consideradas pessoas com deficiência (PcD) aquelas que têm impedimentos de longo prazo de natureza física, mental, intelectual ou sensorial, os quais, em interação com diversas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barreiras,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podem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obstruir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participação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plena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efetiva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sociedade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em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igualdades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condições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 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demais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pessoas,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nos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termos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artigos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3º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4º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Decreto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nº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3.298/99,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 artigo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5º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Decreto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nº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5.296/2004, da Súmula nº 377/2009 do Superior Tribunal de Justiça (STJ), da Lei 12.764/2012 e da Lei nº 13.146/2015.</w:t>
      </w:r>
    </w:p>
    <w:p>
      <w:pPr>
        <w:pStyle w:val="BodyText"/>
        <w:bidi w:val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bidi w:val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2465070</wp:posOffset>
                </wp:positionH>
                <wp:positionV relativeFrom="paragraph">
                  <wp:posOffset>170180</wp:posOffset>
                </wp:positionV>
                <wp:extent cx="2644140" cy="1270"/>
                <wp:effectExtent l="0" t="4445" r="0" b="3175"/>
                <wp:wrapTopAndBottom/>
                <wp:docPr id="2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200" cy="1440"/>
                        </a:xfrm>
                        <a:custGeom>
                          <a:avLst/>
                          <a:gdLst>
                            <a:gd name="textAreaLeft" fmla="*/ 0 w 1499040"/>
                            <a:gd name="textAreaRight" fmla="*/ 1499760 w 14990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644140" h="0">
                              <a:moveTo>
                                <a:pt x="0" y="0"/>
                              </a:moveTo>
                              <a:lnTo>
                                <a:pt x="264362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20" w:after="0"/>
        <w:ind w:left="20" w:right="0"/>
        <w:jc w:val="center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Local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data</w:t>
      </w:r>
    </w:p>
    <w:p>
      <w:pPr>
        <w:pStyle w:val="BodyText"/>
        <w:bidi w:val="0"/>
        <w:spacing w:before="10" w:after="0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2708910</wp:posOffset>
                </wp:positionH>
                <wp:positionV relativeFrom="paragraph">
                  <wp:posOffset>153670</wp:posOffset>
                </wp:positionV>
                <wp:extent cx="2156460" cy="1270"/>
                <wp:effectExtent l="0" t="4445" r="0" b="3175"/>
                <wp:wrapTopAndBottom/>
                <wp:docPr id="3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00" cy="1440"/>
                        </a:xfrm>
                        <a:custGeom>
                          <a:avLst/>
                          <a:gdLst>
                            <a:gd name="textAreaLeft" fmla="*/ 0 w 1222560"/>
                            <a:gd name="textAreaRight" fmla="*/ 1223280 w 12225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156460" h="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17" w:after="0"/>
        <w:ind w:left="20" w:right="0"/>
        <w:jc w:val="center"/>
        <w:rPr>
          <w:rFonts w:ascii="Calibri" w:hAnsi="Calibri"/>
        </w:rPr>
      </w:pPr>
      <w:r>
        <w:rPr>
          <w:rFonts w:ascii="Arial" w:hAnsi="Arial"/>
          <w:sz w:val="20"/>
          <w:szCs w:val="20"/>
        </w:rPr>
        <w:t>Assinatura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2"/>
          <w:sz w:val="20"/>
          <w:szCs w:val="20"/>
        </w:rPr>
        <w:t xml:space="preserve"> declarante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ind w:hanging="679" w:left="849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1</Pages>
  <Words>438</Words>
  <Characters>2396</Characters>
  <CharactersWithSpaces>2826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2025-01-20T01:53:43Z</dcterms:created>
  <dc:creator/>
  <dc:description/>
  <dc:language>pt-BR</dc:language>
  <cp:lastModifiedBy/>
  <dcterms:modified xsi:type="dcterms:W3CDTF">2025-01-20T15:29:51Z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